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0CBCA" w14:textId="77777777" w:rsidR="00295E08" w:rsidRDefault="00295E08" w:rsidP="00496C55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129CC55A" w14:textId="6219C03D" w:rsidR="00496C55" w:rsidRPr="00295E08" w:rsidRDefault="00496C55" w:rsidP="00496C55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  <w:r w:rsidRPr="00295E0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Metepec, México; a </w:t>
      </w:r>
      <w:r w:rsidR="00DE5B36" w:rsidRPr="00295E0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13</w:t>
      </w:r>
      <w:r w:rsidRPr="00295E0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 de agosto de 2024</w:t>
      </w:r>
    </w:p>
    <w:p w14:paraId="234BDB19" w14:textId="5765BDC3" w:rsidR="00496C55" w:rsidRPr="00295E08" w:rsidRDefault="00496C55" w:rsidP="00496C55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  <w:r w:rsidRPr="00295E0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 xml:space="preserve">Oficio No.: </w:t>
      </w:r>
      <w:r w:rsidRPr="00295E08">
        <w:rPr>
          <w:rFonts w:ascii="Gotham Bold" w:eastAsia="Montserrat SemiBold" w:hAnsi="Gotham Bold" w:cs="Montserrat SemiBold"/>
          <w:b/>
          <w:bCs/>
          <w:iCs/>
          <w:color w:val="000000" w:themeColor="text1"/>
          <w:sz w:val="24"/>
          <w:szCs w:val="24"/>
        </w:rPr>
        <w:t>206B0111000000L</w:t>
      </w:r>
      <w:r w:rsidRPr="00295E0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/DGCIE/UT/</w:t>
      </w:r>
      <w:r w:rsidR="009B52BF" w:rsidRPr="00295E0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413</w:t>
      </w:r>
      <w:r w:rsidRPr="00295E08"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  <w:t>/2024</w:t>
      </w:r>
    </w:p>
    <w:p w14:paraId="302119E9" w14:textId="77777777" w:rsidR="00496C55" w:rsidRPr="00295E08" w:rsidRDefault="00496C55" w:rsidP="00496C55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24"/>
          <w:szCs w:val="24"/>
        </w:rPr>
      </w:pPr>
    </w:p>
    <w:p w14:paraId="004EBBC3" w14:textId="77777777" w:rsidR="00015163" w:rsidRDefault="00015163" w:rsidP="00496C55">
      <w:pPr>
        <w:spacing w:after="0" w:line="240" w:lineRule="atLeast"/>
        <w:ind w:left="-426" w:right="-658"/>
        <w:jc w:val="right"/>
        <w:rPr>
          <w:rFonts w:ascii="Gotham Bold" w:eastAsia="Montserrat SemiBold" w:hAnsi="Gotham Bold" w:cs="Montserrat SemiBold"/>
          <w:b/>
          <w:bCs/>
          <w:color w:val="000000" w:themeColor="text1"/>
          <w:sz w:val="30"/>
          <w:szCs w:val="30"/>
        </w:rPr>
      </w:pPr>
    </w:p>
    <w:p w14:paraId="7E7893FA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295E08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>C. SOLICITANTE</w:t>
      </w:r>
    </w:p>
    <w:p w14:paraId="72D1E6F0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</w:pPr>
      <w:r w:rsidRPr="00295E08">
        <w:rPr>
          <w:rFonts w:ascii="Gotham Bold" w:eastAsia="Times New Roman" w:hAnsi="Gotham Bold" w:cs="Times New Roman"/>
          <w:b/>
          <w:bCs/>
          <w:color w:val="000000" w:themeColor="text1"/>
          <w:sz w:val="30"/>
          <w:szCs w:val="30"/>
        </w:rPr>
        <w:t xml:space="preserve">P R E S E N T E </w:t>
      </w:r>
    </w:p>
    <w:p w14:paraId="79956E9C" w14:textId="77777777" w:rsidR="00496C55" w:rsidRDefault="00496C55" w:rsidP="00496C55">
      <w:pPr>
        <w:spacing w:after="0" w:line="240" w:lineRule="atLeast"/>
        <w:ind w:left="-426" w:right="-658"/>
        <w:jc w:val="both"/>
        <w:rPr>
          <w:rFonts w:ascii="Gotham" w:hAnsi="Gotham"/>
          <w:bCs/>
          <w:sz w:val="24"/>
          <w:szCs w:val="24"/>
        </w:rPr>
      </w:pPr>
    </w:p>
    <w:p w14:paraId="75630EAA" w14:textId="77777777" w:rsidR="00295E08" w:rsidRPr="00295E08" w:rsidRDefault="00295E08" w:rsidP="00496C55">
      <w:pPr>
        <w:spacing w:after="0" w:line="240" w:lineRule="atLeast"/>
        <w:ind w:left="-426" w:right="-658"/>
        <w:jc w:val="both"/>
        <w:rPr>
          <w:rFonts w:ascii="Gotham" w:hAnsi="Gotham"/>
          <w:bCs/>
          <w:sz w:val="24"/>
          <w:szCs w:val="24"/>
        </w:rPr>
      </w:pPr>
    </w:p>
    <w:p w14:paraId="146C8D6A" w14:textId="77777777" w:rsidR="00015163" w:rsidRPr="00295E08" w:rsidRDefault="00015163" w:rsidP="00496C55">
      <w:pPr>
        <w:spacing w:after="0" w:line="240" w:lineRule="atLeast"/>
        <w:ind w:left="-426" w:right="-658"/>
        <w:jc w:val="both"/>
        <w:rPr>
          <w:rFonts w:ascii="Gotham" w:hAnsi="Gotham"/>
          <w:bCs/>
          <w:sz w:val="24"/>
          <w:szCs w:val="24"/>
        </w:rPr>
      </w:pPr>
    </w:p>
    <w:p w14:paraId="35B63D93" w14:textId="6579F41E" w:rsidR="00496C55" w:rsidRPr="00295E08" w:rsidRDefault="00496C55" w:rsidP="00496C55">
      <w:pPr>
        <w:spacing w:after="0" w:line="240" w:lineRule="atLeast"/>
        <w:ind w:left="-426" w:right="-516"/>
        <w:jc w:val="both"/>
        <w:rPr>
          <w:rFonts w:ascii="Gotham" w:hAnsi="Gotham"/>
          <w:bCs/>
          <w:sz w:val="24"/>
          <w:szCs w:val="24"/>
        </w:rPr>
      </w:pPr>
      <w:r w:rsidRPr="00295E08">
        <w:rPr>
          <w:rFonts w:ascii="Gotham" w:hAnsi="Gotham"/>
          <w:bCs/>
          <w:sz w:val="24"/>
          <w:szCs w:val="24"/>
        </w:rPr>
        <w:t xml:space="preserve">Con fundamento en lo dispuesto por los artículos 3 fracción XLIV, 46 fracción I, 50 y 51 de la Ley de Transparencia y Acceso a la Información Pública del Estado de México y Municipios; y, 59 de la Ley de Seguridad del Estado de México, el Secretariado Ejecutivo, Órgano Desconcentrado de la Secretaría de Seguridad del Estado de México, en atención a su solicitud de información </w:t>
      </w:r>
      <w:r w:rsidRPr="00295E08">
        <w:rPr>
          <w:rFonts w:ascii="Gotham" w:hAnsi="Gotham"/>
          <w:b/>
          <w:sz w:val="24"/>
          <w:szCs w:val="24"/>
        </w:rPr>
        <w:t>00010</w:t>
      </w:r>
      <w:r w:rsidR="00C974A9" w:rsidRPr="00295E08">
        <w:rPr>
          <w:rFonts w:ascii="Gotham" w:hAnsi="Gotham"/>
          <w:b/>
          <w:sz w:val="24"/>
          <w:szCs w:val="24"/>
        </w:rPr>
        <w:t>2</w:t>
      </w:r>
      <w:r w:rsidRPr="00295E08">
        <w:rPr>
          <w:rFonts w:ascii="Gotham" w:hAnsi="Gotham"/>
          <w:b/>
          <w:sz w:val="24"/>
          <w:szCs w:val="24"/>
        </w:rPr>
        <w:t>/SESESP/IP/2024</w:t>
      </w:r>
      <w:r w:rsidRPr="00295E08">
        <w:rPr>
          <w:rFonts w:ascii="Gotham" w:hAnsi="Gotham"/>
          <w:bCs/>
          <w:sz w:val="24"/>
          <w:szCs w:val="24"/>
        </w:rPr>
        <w:t>, ingresada y registrada a través del Sistema de Acceso a la Información Mexiquense (SAIMEX), el 05 de agosto de 2024, que a la letra señala:</w:t>
      </w:r>
    </w:p>
    <w:p w14:paraId="2B6502C0" w14:textId="77777777" w:rsidR="00496C55" w:rsidRPr="00295E08" w:rsidRDefault="00496C55" w:rsidP="00496C55">
      <w:pPr>
        <w:spacing w:after="0" w:line="240" w:lineRule="atLeast"/>
        <w:ind w:left="-426" w:right="-516"/>
        <w:jc w:val="both"/>
        <w:rPr>
          <w:rFonts w:ascii="Gotham" w:hAnsi="Gotham"/>
          <w:bCs/>
          <w:sz w:val="24"/>
          <w:szCs w:val="24"/>
        </w:rPr>
      </w:pPr>
    </w:p>
    <w:p w14:paraId="477A007D" w14:textId="61C99F21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/>
          <w:b/>
          <w:sz w:val="24"/>
          <w:szCs w:val="24"/>
        </w:rPr>
      </w:pPr>
      <w:r w:rsidRPr="00295E08">
        <w:rPr>
          <w:rFonts w:ascii="Gotham" w:hAnsi="Gotham"/>
          <w:b/>
          <w:sz w:val="24"/>
          <w:szCs w:val="24"/>
        </w:rPr>
        <w:t>Solicitud:</w:t>
      </w:r>
    </w:p>
    <w:p w14:paraId="139624C1" w14:textId="77777777" w:rsidR="00015163" w:rsidRPr="00295E08" w:rsidRDefault="00015163" w:rsidP="00496C55">
      <w:pPr>
        <w:spacing w:after="0" w:line="240" w:lineRule="atLeast"/>
        <w:ind w:left="-426" w:right="-658"/>
        <w:jc w:val="both"/>
        <w:rPr>
          <w:rFonts w:ascii="Gotham" w:hAnsi="Gotham"/>
          <w:sz w:val="24"/>
          <w:szCs w:val="24"/>
        </w:rPr>
      </w:pPr>
    </w:p>
    <w:p w14:paraId="2E718A89" w14:textId="4E606FE3" w:rsidR="00496C55" w:rsidRPr="00295E08" w:rsidRDefault="00C974A9" w:rsidP="00C974A9">
      <w:pPr>
        <w:spacing w:after="0" w:line="240" w:lineRule="atLeast"/>
        <w:ind w:left="-426" w:right="-658"/>
        <w:jc w:val="both"/>
        <w:rPr>
          <w:rFonts w:ascii="Gotham" w:hAnsi="Gotham"/>
          <w:bCs/>
          <w:i/>
          <w:iCs/>
          <w:sz w:val="24"/>
          <w:szCs w:val="24"/>
        </w:rPr>
      </w:pPr>
      <w:r w:rsidRPr="00295E08">
        <w:rPr>
          <w:rFonts w:ascii="Gotham" w:hAnsi="Gotham"/>
          <w:bCs/>
          <w:i/>
          <w:iCs/>
          <w:sz w:val="24"/>
          <w:szCs w:val="24"/>
        </w:rPr>
        <w:t>“</w:t>
      </w:r>
      <w:proofErr w:type="spellStart"/>
      <w:r w:rsidRPr="00295E08">
        <w:rPr>
          <w:rFonts w:ascii="Gotham" w:hAnsi="Gotham"/>
          <w:bCs/>
          <w:i/>
          <w:iCs/>
          <w:sz w:val="24"/>
          <w:szCs w:val="24"/>
        </w:rPr>
        <w:t>cuales</w:t>
      </w:r>
      <w:proofErr w:type="spellEnd"/>
      <w:r w:rsidRPr="00295E08">
        <w:rPr>
          <w:rFonts w:ascii="Gotham" w:hAnsi="Gotham"/>
          <w:bCs/>
          <w:i/>
          <w:iCs/>
          <w:sz w:val="24"/>
          <w:szCs w:val="24"/>
        </w:rPr>
        <w:t xml:space="preserve"> son las funciones de </w:t>
      </w:r>
      <w:proofErr w:type="spellStart"/>
      <w:r w:rsidRPr="00295E08">
        <w:rPr>
          <w:rFonts w:ascii="Gotham" w:hAnsi="Gotham"/>
          <w:bCs/>
          <w:i/>
          <w:iCs/>
          <w:sz w:val="24"/>
          <w:szCs w:val="24"/>
        </w:rPr>
        <w:t>Hector</w:t>
      </w:r>
      <w:proofErr w:type="spellEnd"/>
      <w:r w:rsidRPr="00295E08">
        <w:rPr>
          <w:rFonts w:ascii="Gotham" w:hAnsi="Gotham"/>
          <w:bCs/>
          <w:i/>
          <w:iCs/>
          <w:sz w:val="24"/>
          <w:szCs w:val="24"/>
        </w:rPr>
        <w:t xml:space="preserve"> Hugo </w:t>
      </w:r>
      <w:proofErr w:type="spellStart"/>
      <w:r w:rsidRPr="00295E08">
        <w:rPr>
          <w:rFonts w:ascii="Gotham" w:hAnsi="Gotham"/>
          <w:bCs/>
          <w:i/>
          <w:iCs/>
          <w:sz w:val="24"/>
          <w:szCs w:val="24"/>
        </w:rPr>
        <w:t>Rodriguez</w:t>
      </w:r>
      <w:proofErr w:type="spellEnd"/>
      <w:r w:rsidRPr="00295E08">
        <w:rPr>
          <w:rFonts w:ascii="Gotham" w:hAnsi="Gotham"/>
          <w:bCs/>
          <w:i/>
          <w:iCs/>
          <w:sz w:val="24"/>
          <w:szCs w:val="24"/>
        </w:rPr>
        <w:t xml:space="preserve"> Flores en la Dirección General de Coordinación con Instancias a partir del mes de julio 2024 con la administración de </w:t>
      </w:r>
      <w:proofErr w:type="spellStart"/>
      <w:r w:rsidRPr="00295E08">
        <w:rPr>
          <w:rFonts w:ascii="Gotham" w:hAnsi="Gotham"/>
          <w:bCs/>
          <w:i/>
          <w:iCs/>
          <w:sz w:val="24"/>
          <w:szCs w:val="24"/>
        </w:rPr>
        <w:t>Hector</w:t>
      </w:r>
      <w:proofErr w:type="spellEnd"/>
      <w:r w:rsidRPr="00295E08">
        <w:rPr>
          <w:rFonts w:ascii="Gotham" w:hAnsi="Gotham"/>
          <w:bCs/>
          <w:i/>
          <w:iCs/>
          <w:sz w:val="24"/>
          <w:szCs w:val="24"/>
        </w:rPr>
        <w:t xml:space="preserve"> Villegas Sandoval.”</w:t>
      </w: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t xml:space="preserve"> </w:t>
      </w:r>
      <w:r w:rsidR="00496C55" w:rsidRPr="00295E08">
        <w:rPr>
          <w:rFonts w:ascii="Gotham" w:hAnsi="Gotham" w:cs="Arial"/>
          <w:b/>
          <w:bCs/>
          <w:i/>
          <w:iCs/>
          <w:sz w:val="24"/>
          <w:szCs w:val="24"/>
        </w:rPr>
        <w:t>(sic)</w:t>
      </w:r>
    </w:p>
    <w:p w14:paraId="54DC7C6A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/>
          <w:bCs/>
          <w:sz w:val="24"/>
          <w:szCs w:val="24"/>
        </w:rPr>
      </w:pPr>
    </w:p>
    <w:p w14:paraId="271E58DB" w14:textId="0EEAAAB4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sz w:val="24"/>
          <w:szCs w:val="24"/>
        </w:rPr>
      </w:pPr>
      <w:r w:rsidRPr="00295E08">
        <w:rPr>
          <w:rFonts w:ascii="Gotham" w:hAnsi="Gotham" w:cs="Arial"/>
          <w:b/>
          <w:bCs/>
          <w:sz w:val="24"/>
          <w:szCs w:val="24"/>
        </w:rPr>
        <w:t>Competencia:</w:t>
      </w:r>
    </w:p>
    <w:p w14:paraId="3FDED0A9" w14:textId="77777777" w:rsidR="00015163" w:rsidRPr="00295E08" w:rsidRDefault="00015163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</w:p>
    <w:p w14:paraId="52439A2E" w14:textId="5C902C71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  <w:r w:rsidRPr="00295E08">
        <w:rPr>
          <w:rFonts w:ascii="Gotham" w:hAnsi="Gotham" w:cs="Arial"/>
          <w:bCs/>
          <w:sz w:val="24"/>
          <w:szCs w:val="24"/>
        </w:rPr>
        <w:t>Al respecto, con fundamento en los artículos 1, 4, 12 segundo párrafo, 24 último párrafo, y 53 fracción II de la Ley de Transparencia y Acceso a la Información Pública del Estado de México y Municipios; 61 de la Ley de Seguridad del Estado de México;</w:t>
      </w:r>
      <w:r w:rsidR="00C974A9" w:rsidRPr="00295E08">
        <w:rPr>
          <w:rFonts w:ascii="Gotham" w:hAnsi="Gotham" w:cs="Arial"/>
          <w:bCs/>
          <w:sz w:val="24"/>
          <w:szCs w:val="24"/>
        </w:rPr>
        <w:t xml:space="preserve"> </w:t>
      </w:r>
      <w:r w:rsidRPr="00295E08">
        <w:rPr>
          <w:rFonts w:ascii="Gotham" w:hAnsi="Gotham" w:cs="Arial"/>
          <w:bCs/>
          <w:sz w:val="24"/>
          <w:szCs w:val="24"/>
        </w:rPr>
        <w:t>9</w:t>
      </w:r>
      <w:r w:rsidR="00930D17" w:rsidRPr="00295E08">
        <w:rPr>
          <w:rFonts w:ascii="Gotham" w:hAnsi="Gotham" w:cs="Arial"/>
          <w:bCs/>
          <w:sz w:val="24"/>
          <w:szCs w:val="24"/>
        </w:rPr>
        <w:t xml:space="preserve"> y</w:t>
      </w:r>
      <w:r w:rsidRPr="00295E08">
        <w:rPr>
          <w:rFonts w:ascii="Gotham" w:hAnsi="Gotham" w:cs="Arial"/>
          <w:bCs/>
          <w:sz w:val="24"/>
          <w:szCs w:val="24"/>
        </w:rPr>
        <w:t xml:space="preserve"> 12 Bis</w:t>
      </w:r>
      <w:r w:rsidR="00C974A9" w:rsidRPr="00295E08">
        <w:rPr>
          <w:rFonts w:ascii="Gotham" w:hAnsi="Gotham" w:cs="Arial"/>
          <w:bCs/>
          <w:sz w:val="24"/>
          <w:szCs w:val="24"/>
        </w:rPr>
        <w:t xml:space="preserve">, </w:t>
      </w:r>
      <w:r w:rsidRPr="00295E08">
        <w:rPr>
          <w:rFonts w:ascii="Gotham" w:hAnsi="Gotham" w:cs="Arial"/>
          <w:bCs/>
          <w:sz w:val="24"/>
          <w:szCs w:val="24"/>
        </w:rPr>
        <w:t>del Reglamento Interior del Secretariado Ejecutivo del Sistema Estatal de Seguridad Pública</w:t>
      </w:r>
      <w:r w:rsidR="00C974A9" w:rsidRPr="00295E08">
        <w:rPr>
          <w:rFonts w:ascii="Gotham" w:hAnsi="Gotham" w:cs="Arial"/>
          <w:bCs/>
          <w:sz w:val="24"/>
          <w:szCs w:val="24"/>
        </w:rPr>
        <w:t xml:space="preserve">; </w:t>
      </w:r>
      <w:r w:rsidRPr="00295E08">
        <w:rPr>
          <w:rFonts w:ascii="Gotham" w:hAnsi="Gotham" w:cs="Arial"/>
          <w:bCs/>
          <w:sz w:val="24"/>
          <w:szCs w:val="24"/>
        </w:rPr>
        <w:t>me permito informar a Usted, que este Sujeto Obligado da respuesta como se expondrá de manera fundada.</w:t>
      </w:r>
    </w:p>
    <w:p w14:paraId="067EC1A3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</w:p>
    <w:p w14:paraId="47D74568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sz w:val="24"/>
          <w:szCs w:val="24"/>
        </w:rPr>
      </w:pPr>
      <w:r w:rsidRPr="00295E08">
        <w:rPr>
          <w:rFonts w:ascii="Gotham" w:hAnsi="Gotham" w:cs="Arial"/>
          <w:b/>
          <w:bCs/>
          <w:sz w:val="24"/>
          <w:szCs w:val="24"/>
        </w:rPr>
        <w:t>Fundamentación y Motivación:</w:t>
      </w:r>
    </w:p>
    <w:p w14:paraId="288E93A7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</w:p>
    <w:p w14:paraId="5E2AFCF1" w14:textId="5BA37C94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t>“Artículo 12…</w:t>
      </w:r>
    </w:p>
    <w:p w14:paraId="7862CCA0" w14:textId="77777777" w:rsidR="00015163" w:rsidRPr="00295E08" w:rsidRDefault="00015163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32368A36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/>
          <w:i/>
          <w:iCs/>
          <w:sz w:val="24"/>
          <w:szCs w:val="24"/>
        </w:rPr>
      </w:pPr>
      <w:r w:rsidRPr="00295E08">
        <w:rPr>
          <w:rFonts w:ascii="Gotham" w:hAnsi="Gotham" w:cs="Arial"/>
          <w:bCs/>
          <w:i/>
          <w:iCs/>
          <w:sz w:val="24"/>
          <w:szCs w:val="24"/>
        </w:rPr>
        <w:t>Los sujetos obligados sólo proporcionarán la información pública que se les requiera y que obre en sus archivos y en el estado en que ésta se encuentre</w:t>
      </w:r>
      <w:r w:rsidRPr="00295E08">
        <w:rPr>
          <w:rFonts w:ascii="Gotham" w:hAnsi="Gotham" w:cs="Arial"/>
          <w:b/>
          <w:i/>
          <w:iCs/>
          <w:sz w:val="24"/>
          <w:szCs w:val="24"/>
        </w:rPr>
        <w:t>. La obligación de proporcionar información no comprende el procesamiento de la misma, ni el presentarla conforme al interés del solicitante; no estarán obligados a generarla, resumirla, efectuar cálculos o practicar investigaciones.” (énfasis añadido)</w:t>
      </w:r>
    </w:p>
    <w:p w14:paraId="716104B1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7785B859" w14:textId="29EF14A8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lastRenderedPageBreak/>
        <w:t>“Artículo 24.</w:t>
      </w:r>
      <w:r w:rsidRPr="00295E08">
        <w:rPr>
          <w:rFonts w:ascii="Gotham" w:hAnsi="Gotham" w:cs="Arial"/>
          <w:bCs/>
          <w:i/>
          <w:iCs/>
          <w:sz w:val="24"/>
          <w:szCs w:val="24"/>
        </w:rPr>
        <w:t xml:space="preserve"> … </w:t>
      </w:r>
    </w:p>
    <w:p w14:paraId="1B4EAED2" w14:textId="77777777" w:rsidR="00015163" w:rsidRPr="00295E08" w:rsidRDefault="00015163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5FFE2CCF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295E08">
        <w:rPr>
          <w:rFonts w:ascii="Gotham" w:hAnsi="Gotham" w:cs="Arial"/>
          <w:b/>
          <w:i/>
          <w:iCs/>
          <w:sz w:val="24"/>
          <w:szCs w:val="24"/>
        </w:rPr>
        <w:t>Los sujetos obligados solo proporcionarán la información pública que generen, administren o posean en el ejercicio de sus atribuciones.”</w:t>
      </w: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t xml:space="preserve"> (énfasis añadido)</w:t>
      </w:r>
    </w:p>
    <w:p w14:paraId="3509F26B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</w:p>
    <w:p w14:paraId="59A5B7F4" w14:textId="77777777" w:rsidR="00496C55" w:rsidRPr="00295E08" w:rsidRDefault="00496C55" w:rsidP="00496C55">
      <w:pPr>
        <w:spacing w:after="0" w:line="240" w:lineRule="atLeast"/>
        <w:ind w:left="-426" w:right="-516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295E08">
        <w:rPr>
          <w:rFonts w:ascii="Gotham" w:hAnsi="Gotham"/>
          <w:b/>
          <w:i/>
          <w:iCs/>
          <w:sz w:val="24"/>
          <w:szCs w:val="24"/>
        </w:rPr>
        <w:t>“Artículo 162</w:t>
      </w:r>
      <w:r w:rsidRPr="00295E08">
        <w:rPr>
          <w:rFonts w:ascii="Gotham" w:hAnsi="Gotham"/>
          <w:b/>
          <w:bCs/>
          <w:i/>
          <w:iCs/>
          <w:sz w:val="24"/>
          <w:szCs w:val="24"/>
        </w:rPr>
        <w:t xml:space="preserve">. </w:t>
      </w:r>
      <w:r w:rsidRPr="00295E08">
        <w:rPr>
          <w:rFonts w:ascii="Gotham" w:hAnsi="Gotham"/>
          <w:i/>
          <w:iCs/>
          <w:sz w:val="24"/>
          <w:szCs w:val="24"/>
        </w:rPr>
        <w:t xml:space="preserve">Las unidades de transparencia deberán garantizar que las solicitudes se turnen a todas las Áreas competentes que cuenten con la información o deban tenerla de acuerdo a sus facultades, competencias y funciones, </w:t>
      </w:r>
      <w:r w:rsidRPr="00295E08">
        <w:rPr>
          <w:rFonts w:ascii="Gotham" w:hAnsi="Gotham"/>
          <w:b/>
          <w:bCs/>
          <w:i/>
          <w:iCs/>
          <w:sz w:val="24"/>
          <w:szCs w:val="24"/>
        </w:rPr>
        <w:t>con el objeto de que realicen una búsqueda exhaustiva y razonable de la información solicitada.</w:t>
      </w:r>
      <w:r w:rsidRPr="00295E08">
        <w:rPr>
          <w:rFonts w:ascii="Gotham" w:hAnsi="Gotham"/>
          <w:i/>
          <w:iCs/>
          <w:sz w:val="24"/>
          <w:szCs w:val="24"/>
        </w:rPr>
        <w:t>”</w:t>
      </w: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t xml:space="preserve"> (énfasis añadido)</w:t>
      </w:r>
    </w:p>
    <w:p w14:paraId="5F530693" w14:textId="77777777" w:rsidR="00376D08" w:rsidRPr="00295E08" w:rsidRDefault="00376D08" w:rsidP="00496C55">
      <w:pPr>
        <w:spacing w:after="0" w:line="240" w:lineRule="atLeast"/>
        <w:ind w:left="-426" w:right="-516"/>
        <w:jc w:val="both"/>
        <w:rPr>
          <w:rFonts w:ascii="Gotham" w:hAnsi="Gotham"/>
          <w:b/>
          <w:bCs/>
          <w:i/>
          <w:iCs/>
          <w:sz w:val="24"/>
          <w:szCs w:val="24"/>
        </w:rPr>
      </w:pPr>
    </w:p>
    <w:p w14:paraId="458EF79D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  <w:r w:rsidRPr="00295E08">
        <w:rPr>
          <w:rFonts w:ascii="Gotham" w:hAnsi="Gotham" w:cs="Arial"/>
          <w:bCs/>
          <w:sz w:val="24"/>
          <w:szCs w:val="24"/>
        </w:rPr>
        <w:t>También el criterio número 03/17 Segunda Época, del Instituto Nacional de Transparencia y Acceso a la Información y Protección de Datos Personales (INAI), permite ampliar la interpretación de estas disposiciones de la materia:</w:t>
      </w:r>
    </w:p>
    <w:p w14:paraId="18BE1210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sz w:val="24"/>
          <w:szCs w:val="24"/>
        </w:rPr>
      </w:pPr>
    </w:p>
    <w:p w14:paraId="4EC7A2FD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/>
          <w:i/>
          <w:iCs/>
          <w:sz w:val="24"/>
          <w:szCs w:val="24"/>
        </w:rPr>
      </w:pPr>
      <w:r w:rsidRPr="00295E08">
        <w:rPr>
          <w:rFonts w:ascii="Gotham" w:hAnsi="Gotham" w:cs="Arial"/>
          <w:b/>
          <w:bCs/>
          <w:sz w:val="24"/>
          <w:szCs w:val="24"/>
        </w:rPr>
        <w:t>“</w:t>
      </w: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t>No existe obligación de elaborar documentos ad hoc para atender las solicitudes de acceso a la información</w:t>
      </w:r>
      <w:r w:rsidRPr="00295E08">
        <w:rPr>
          <w:rFonts w:ascii="Gotham" w:hAnsi="Gotham" w:cs="Arial"/>
          <w:bCs/>
          <w:i/>
          <w:iCs/>
          <w:sz w:val="24"/>
          <w:szCs w:val="24"/>
        </w:rPr>
        <w:t xml:space="preserve">. Los artículos 129 de la Ley General de Transparencia y Acceso a la Información Pública y 130, párrafo cuarto, de la Ley Federal de Transparencia y Acceso a la Información Pública, señalan que los sujetos obligados deberán otorgar acceso a los documentos que se encuentren en sus archivos o que estén obligados a documentar, de acuerdo con sus facultades, competencias o funciones, conforme a las características físicas de la información o del lugar donde se encuentre. Por lo anterior, los sujetos obligados deben garantizar el derecho de acceso a la información del particular, </w:t>
      </w:r>
      <w:r w:rsidRPr="00295E08">
        <w:rPr>
          <w:rFonts w:ascii="Gotham" w:hAnsi="Gotham" w:cs="Arial"/>
          <w:b/>
          <w:i/>
          <w:iCs/>
          <w:sz w:val="24"/>
          <w:szCs w:val="24"/>
        </w:rPr>
        <w:t>proporcionando la información con la que cuentan en el formato en que la misma obre en sus archivos</w:t>
      </w:r>
      <w:r w:rsidRPr="00295E08">
        <w:rPr>
          <w:rFonts w:ascii="Gotham" w:hAnsi="Gotham" w:cs="Arial"/>
          <w:bCs/>
          <w:i/>
          <w:iCs/>
          <w:sz w:val="24"/>
          <w:szCs w:val="24"/>
        </w:rPr>
        <w:t>;</w:t>
      </w:r>
      <w:r w:rsidRPr="00295E08">
        <w:rPr>
          <w:rFonts w:ascii="Gotham" w:hAnsi="Gotham" w:cs="Arial"/>
          <w:b/>
          <w:i/>
          <w:iCs/>
          <w:sz w:val="24"/>
          <w:szCs w:val="24"/>
        </w:rPr>
        <w:t xml:space="preserve"> sin necesidad de elaborar documentos ad hoc para atender las solicitudes de información.</w:t>
      </w:r>
    </w:p>
    <w:p w14:paraId="5BC4A012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/>
          <w:i/>
          <w:iCs/>
          <w:sz w:val="24"/>
          <w:szCs w:val="24"/>
        </w:rPr>
      </w:pPr>
    </w:p>
    <w:p w14:paraId="5871FB3C" w14:textId="53F8312B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t xml:space="preserve">Resoluciones: </w:t>
      </w:r>
    </w:p>
    <w:p w14:paraId="61AF1B0E" w14:textId="77777777" w:rsidR="00015163" w:rsidRPr="00295E08" w:rsidRDefault="00015163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27C006A3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sym w:font="Symbol" w:char="F0B7"/>
      </w: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t xml:space="preserve"> RRA 0050/16.</w:t>
      </w:r>
      <w:r w:rsidRPr="00295E08">
        <w:rPr>
          <w:rFonts w:ascii="Gotham" w:hAnsi="Gotham" w:cs="Arial"/>
          <w:bCs/>
          <w:i/>
          <w:iCs/>
          <w:sz w:val="24"/>
          <w:szCs w:val="24"/>
        </w:rPr>
        <w:t xml:space="preserve"> Instituto Nacional para la Evaluación de la Educación. 13 julio de 2016. Por unanimidad. Comisionado Ponente: Francisco Javier Acuña Llamas. </w:t>
      </w:r>
    </w:p>
    <w:p w14:paraId="0CCB6CE4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sym w:font="Symbol" w:char="F0B7"/>
      </w: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t xml:space="preserve"> RRA 0310/16</w:t>
      </w:r>
      <w:r w:rsidRPr="00295E08">
        <w:rPr>
          <w:rFonts w:ascii="Gotham" w:hAnsi="Gotham" w:cs="Arial"/>
          <w:bCs/>
          <w:i/>
          <w:iCs/>
          <w:sz w:val="24"/>
          <w:szCs w:val="24"/>
        </w:rPr>
        <w:t xml:space="preserve">. Instituto Nacional de Transparencia, Acceso a la Información y Protección de Datos Personales. 10 de agosto de 2016. Por unanimidad. Comisionada Ponente. Areli Cano Guadiana. </w:t>
      </w:r>
    </w:p>
    <w:p w14:paraId="731D19DA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sym w:font="Symbol" w:char="F0B7"/>
      </w: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t xml:space="preserve"> RRA 1889/16.</w:t>
      </w:r>
      <w:r w:rsidRPr="00295E08">
        <w:rPr>
          <w:rFonts w:ascii="Gotham" w:hAnsi="Gotham" w:cs="Arial"/>
          <w:bCs/>
          <w:i/>
          <w:iCs/>
          <w:sz w:val="24"/>
          <w:szCs w:val="24"/>
        </w:rPr>
        <w:t xml:space="preserve"> Secretaría de Hacienda y Crédito Público. 05 de octubre de 2016. Por unanimidad. Comisionada Ponente. Ximena Puente de la Mora.”</w:t>
      </w:r>
      <w:r w:rsidRPr="00295E08">
        <w:rPr>
          <w:rFonts w:ascii="Gotham" w:hAnsi="Gotham" w:cs="Arial"/>
          <w:b/>
          <w:bCs/>
          <w:i/>
          <w:iCs/>
          <w:sz w:val="24"/>
          <w:szCs w:val="24"/>
        </w:rPr>
        <w:t xml:space="preserve"> (énfasis añadido)</w:t>
      </w:r>
    </w:p>
    <w:p w14:paraId="3E75B4C9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 w:cs="Arial"/>
          <w:bCs/>
          <w:i/>
          <w:iCs/>
          <w:sz w:val="24"/>
          <w:szCs w:val="24"/>
        </w:rPr>
      </w:pPr>
    </w:p>
    <w:p w14:paraId="44A54EC6" w14:textId="392688D1" w:rsidR="00496C55" w:rsidRPr="00295E08" w:rsidRDefault="00496C55" w:rsidP="00496C55">
      <w:pPr>
        <w:spacing w:after="0" w:line="240" w:lineRule="atLeast"/>
        <w:ind w:left="-426" w:right="-516"/>
        <w:jc w:val="both"/>
        <w:rPr>
          <w:rFonts w:ascii="Gotham" w:hAnsi="Gotham" w:cs="Arial"/>
          <w:sz w:val="24"/>
          <w:szCs w:val="24"/>
        </w:rPr>
      </w:pPr>
      <w:r w:rsidRPr="00295E08">
        <w:rPr>
          <w:rFonts w:ascii="Gotham" w:hAnsi="Gotham" w:cs="Arial"/>
          <w:bCs/>
          <w:sz w:val="24"/>
          <w:szCs w:val="24"/>
        </w:rPr>
        <w:t xml:space="preserve">Una vez analizada su Solicitud de Información, y derivado del oficio </w:t>
      </w:r>
      <w:r w:rsidRPr="00295E08">
        <w:rPr>
          <w:rFonts w:ascii="Gotham" w:hAnsi="Gotham" w:cs="Arial"/>
          <w:b/>
          <w:sz w:val="24"/>
          <w:szCs w:val="24"/>
        </w:rPr>
        <w:t>206B0114010000L/009</w:t>
      </w:r>
      <w:r w:rsidR="00C974A9" w:rsidRPr="00295E08">
        <w:rPr>
          <w:rFonts w:ascii="Gotham" w:hAnsi="Gotham" w:cs="Arial"/>
          <w:b/>
          <w:sz w:val="24"/>
          <w:szCs w:val="24"/>
        </w:rPr>
        <w:t>8</w:t>
      </w:r>
      <w:r w:rsidRPr="00295E08">
        <w:rPr>
          <w:rFonts w:ascii="Gotham" w:hAnsi="Gotham" w:cs="Arial"/>
          <w:b/>
          <w:sz w:val="24"/>
          <w:szCs w:val="24"/>
        </w:rPr>
        <w:t>/2024</w:t>
      </w:r>
      <w:r w:rsidRPr="00295E08">
        <w:rPr>
          <w:rFonts w:ascii="Gotham" w:hAnsi="Gotham" w:cs="Arial"/>
          <w:bCs/>
          <w:sz w:val="24"/>
          <w:szCs w:val="24"/>
        </w:rPr>
        <w:t>, signado por el Director de Coordinación Operativa de la Dirección General de la Dirección General de Vinculación y Coordinación con Instancias, y Servidor Público Habilitado Suplente; este Sujeto Obligado proporciona la información en los términos siguientes:</w:t>
      </w:r>
    </w:p>
    <w:p w14:paraId="14CBCDE9" w14:textId="77777777" w:rsidR="00496C55" w:rsidRPr="00295E08" w:rsidRDefault="00496C55" w:rsidP="00496C55">
      <w:pPr>
        <w:spacing w:after="0" w:line="240" w:lineRule="atLeast"/>
        <w:ind w:left="-426" w:right="-516"/>
        <w:jc w:val="both"/>
        <w:rPr>
          <w:rFonts w:ascii="Gotham" w:hAnsi="Gotham" w:cs="Arial"/>
          <w:bCs/>
          <w:sz w:val="24"/>
          <w:szCs w:val="24"/>
        </w:rPr>
      </w:pPr>
    </w:p>
    <w:p w14:paraId="69A71E29" w14:textId="77777777" w:rsidR="00496C55" w:rsidRPr="00295E08" w:rsidRDefault="00496C55" w:rsidP="00496C55">
      <w:pPr>
        <w:spacing w:after="0" w:line="240" w:lineRule="atLeast"/>
        <w:ind w:left="-426" w:right="-516"/>
        <w:jc w:val="both"/>
        <w:rPr>
          <w:rFonts w:ascii="Gotham" w:hAnsi="Gotham" w:cs="Arial"/>
          <w:bCs/>
          <w:sz w:val="24"/>
          <w:szCs w:val="24"/>
        </w:rPr>
      </w:pPr>
      <w:r w:rsidRPr="00295E08">
        <w:rPr>
          <w:rFonts w:ascii="Gotham" w:hAnsi="Gotham" w:cs="Arial"/>
          <w:bCs/>
          <w:sz w:val="24"/>
          <w:szCs w:val="24"/>
        </w:rPr>
        <w:lastRenderedPageBreak/>
        <w:t xml:space="preserve">Al respecto, se hace de su conocimiento que este Sujeto Obligado </w:t>
      </w:r>
      <w:r w:rsidRPr="00295E08">
        <w:rPr>
          <w:rFonts w:ascii="Gotham" w:hAnsi="Gotham" w:cs="Arial"/>
          <w:sz w:val="24"/>
          <w:szCs w:val="24"/>
        </w:rPr>
        <w:t xml:space="preserve">sólo proporcionará la información pública que obre en sus archivos y </w:t>
      </w:r>
      <w:r w:rsidRPr="00295E08">
        <w:rPr>
          <w:rFonts w:ascii="Gotham" w:hAnsi="Gotham" w:cs="Arial"/>
          <w:b/>
          <w:bCs/>
          <w:sz w:val="24"/>
          <w:szCs w:val="24"/>
        </w:rPr>
        <w:t>en el estado en que ésta se encuentre</w:t>
      </w:r>
      <w:r w:rsidRPr="00295E08">
        <w:rPr>
          <w:rFonts w:ascii="Gotham" w:hAnsi="Gotham" w:cs="Arial"/>
          <w:bCs/>
          <w:sz w:val="24"/>
          <w:szCs w:val="24"/>
        </w:rPr>
        <w:t xml:space="preserve">, asimismo, la obligación de proporcionar información no comprende el procesamiento de esta, ni el presentarla conforme al interés del solicitante o practicar investigaciones. </w:t>
      </w:r>
    </w:p>
    <w:p w14:paraId="4B3D05C7" w14:textId="77777777" w:rsidR="00496C55" w:rsidRPr="00295E08" w:rsidRDefault="00496C55" w:rsidP="00496C55">
      <w:pPr>
        <w:spacing w:after="0" w:line="240" w:lineRule="atLeast"/>
        <w:ind w:left="-426" w:right="-516"/>
        <w:jc w:val="both"/>
        <w:rPr>
          <w:rFonts w:ascii="Gotham" w:hAnsi="Gotham" w:cs="Arial"/>
          <w:b/>
          <w:sz w:val="24"/>
          <w:szCs w:val="24"/>
        </w:rPr>
      </w:pPr>
    </w:p>
    <w:p w14:paraId="7F1378EF" w14:textId="77777777" w:rsidR="00496C55" w:rsidRPr="00295E08" w:rsidRDefault="00496C55" w:rsidP="00496C55">
      <w:pPr>
        <w:spacing w:after="0" w:line="240" w:lineRule="atLeast"/>
        <w:ind w:left="-426" w:right="-516"/>
        <w:jc w:val="both"/>
        <w:rPr>
          <w:rFonts w:ascii="Gotham" w:hAnsi="Gotham" w:cs="Arial"/>
          <w:bCs/>
          <w:iCs/>
          <w:sz w:val="24"/>
          <w:szCs w:val="24"/>
        </w:rPr>
      </w:pPr>
      <w:r w:rsidRPr="00295E08">
        <w:rPr>
          <w:rFonts w:ascii="Gotham" w:hAnsi="Gotham" w:cs="Arial"/>
          <w:bCs/>
          <w:iCs/>
          <w:sz w:val="24"/>
          <w:szCs w:val="24"/>
        </w:rPr>
        <w:t>Por lo tanto, ello puede tener como efectos que la información no se posea en los mismos términos que Usted la solicita.</w:t>
      </w:r>
    </w:p>
    <w:p w14:paraId="29135A44" w14:textId="77777777" w:rsidR="00496C55" w:rsidRPr="00295E08" w:rsidRDefault="00496C55" w:rsidP="00496C55">
      <w:pPr>
        <w:spacing w:after="0" w:line="240" w:lineRule="atLeast"/>
        <w:ind w:left="-426" w:right="-516"/>
        <w:jc w:val="both"/>
        <w:rPr>
          <w:rFonts w:ascii="Gotham" w:hAnsi="Gotham" w:cs="Arial"/>
          <w:bCs/>
          <w:sz w:val="24"/>
          <w:szCs w:val="24"/>
        </w:rPr>
      </w:pPr>
    </w:p>
    <w:p w14:paraId="16332838" w14:textId="77777777" w:rsidR="00880521" w:rsidRPr="00295E08" w:rsidRDefault="00496C55" w:rsidP="00880521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/>
          <w:bCs/>
          <w:i/>
          <w:iCs/>
          <w:sz w:val="24"/>
          <w:szCs w:val="24"/>
        </w:rPr>
      </w:pPr>
      <w:r w:rsidRPr="00295E08">
        <w:rPr>
          <w:rFonts w:ascii="Gotham" w:hAnsi="Gotham" w:cs="Arial"/>
          <w:bCs/>
          <w:sz w:val="24"/>
          <w:szCs w:val="24"/>
        </w:rPr>
        <w:t xml:space="preserve">Referente a </w:t>
      </w:r>
      <w:r w:rsidR="00C974A9" w:rsidRPr="00295E08">
        <w:rPr>
          <w:rFonts w:ascii="Gotham" w:hAnsi="Gotham"/>
          <w:bCs/>
          <w:i/>
          <w:iCs/>
          <w:sz w:val="24"/>
          <w:szCs w:val="24"/>
        </w:rPr>
        <w:t>“</w:t>
      </w:r>
      <w:proofErr w:type="spellStart"/>
      <w:r w:rsidR="00C974A9" w:rsidRPr="00295E08">
        <w:rPr>
          <w:rFonts w:ascii="Gotham" w:hAnsi="Gotham"/>
          <w:bCs/>
          <w:i/>
          <w:iCs/>
          <w:sz w:val="24"/>
          <w:szCs w:val="24"/>
        </w:rPr>
        <w:t>cuales</w:t>
      </w:r>
      <w:proofErr w:type="spellEnd"/>
      <w:r w:rsidR="00C974A9" w:rsidRPr="00295E08">
        <w:rPr>
          <w:rFonts w:ascii="Gotham" w:hAnsi="Gotham"/>
          <w:bCs/>
          <w:i/>
          <w:iCs/>
          <w:sz w:val="24"/>
          <w:szCs w:val="24"/>
        </w:rPr>
        <w:t xml:space="preserve"> son las funciones de </w:t>
      </w:r>
      <w:proofErr w:type="spellStart"/>
      <w:r w:rsidR="00C974A9" w:rsidRPr="00295E08">
        <w:rPr>
          <w:rFonts w:ascii="Gotham" w:hAnsi="Gotham"/>
          <w:bCs/>
          <w:i/>
          <w:iCs/>
          <w:sz w:val="24"/>
          <w:szCs w:val="24"/>
        </w:rPr>
        <w:t>Hector</w:t>
      </w:r>
      <w:proofErr w:type="spellEnd"/>
      <w:r w:rsidR="00C974A9" w:rsidRPr="00295E08">
        <w:rPr>
          <w:rFonts w:ascii="Gotham" w:hAnsi="Gotham"/>
          <w:bCs/>
          <w:i/>
          <w:iCs/>
          <w:sz w:val="24"/>
          <w:szCs w:val="24"/>
        </w:rPr>
        <w:t xml:space="preserve"> Hugo </w:t>
      </w:r>
      <w:proofErr w:type="spellStart"/>
      <w:r w:rsidR="00C974A9" w:rsidRPr="00295E08">
        <w:rPr>
          <w:rFonts w:ascii="Gotham" w:hAnsi="Gotham"/>
          <w:bCs/>
          <w:i/>
          <w:iCs/>
          <w:sz w:val="24"/>
          <w:szCs w:val="24"/>
        </w:rPr>
        <w:t>Rodriguez</w:t>
      </w:r>
      <w:proofErr w:type="spellEnd"/>
      <w:r w:rsidR="00C974A9" w:rsidRPr="00295E08">
        <w:rPr>
          <w:rFonts w:ascii="Gotham" w:hAnsi="Gotham"/>
          <w:bCs/>
          <w:i/>
          <w:iCs/>
          <w:sz w:val="24"/>
          <w:szCs w:val="24"/>
        </w:rPr>
        <w:t xml:space="preserve"> Flores en la Dirección General de Coordinación con Instancias a partir del mes de julio 2024 con la administración de </w:t>
      </w:r>
      <w:proofErr w:type="spellStart"/>
      <w:r w:rsidR="00C974A9" w:rsidRPr="00295E08">
        <w:rPr>
          <w:rFonts w:ascii="Gotham" w:hAnsi="Gotham"/>
          <w:bCs/>
          <w:i/>
          <w:iCs/>
          <w:sz w:val="24"/>
          <w:szCs w:val="24"/>
        </w:rPr>
        <w:t>Hector</w:t>
      </w:r>
      <w:proofErr w:type="spellEnd"/>
      <w:r w:rsidR="00C974A9" w:rsidRPr="00295E08">
        <w:rPr>
          <w:rFonts w:ascii="Gotham" w:hAnsi="Gotham"/>
          <w:bCs/>
          <w:i/>
          <w:iCs/>
          <w:sz w:val="24"/>
          <w:szCs w:val="24"/>
        </w:rPr>
        <w:t xml:space="preserve"> Villegas Sandoval.”</w:t>
      </w:r>
    </w:p>
    <w:p w14:paraId="1F64DC48" w14:textId="77777777" w:rsidR="00880521" w:rsidRPr="00295E08" w:rsidRDefault="00880521" w:rsidP="00880521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/>
          <w:bCs/>
          <w:i/>
          <w:iCs/>
          <w:sz w:val="24"/>
          <w:szCs w:val="24"/>
        </w:rPr>
      </w:pPr>
    </w:p>
    <w:p w14:paraId="0506E365" w14:textId="3B9CC849" w:rsidR="00880521" w:rsidRPr="00295E08" w:rsidRDefault="00880521" w:rsidP="00880521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b/>
          <w:bCs/>
          <w:sz w:val="24"/>
          <w:szCs w:val="24"/>
        </w:rPr>
      </w:pPr>
      <w:r w:rsidRPr="00295E08">
        <w:rPr>
          <w:rFonts w:ascii="Gotham" w:hAnsi="Gotham" w:cs="Arial"/>
          <w:sz w:val="24"/>
          <w:szCs w:val="24"/>
        </w:rPr>
        <w:t>U</w:t>
      </w:r>
      <w:r w:rsidR="00496C55" w:rsidRPr="00295E08">
        <w:rPr>
          <w:rFonts w:ascii="Gotham" w:hAnsi="Gotham" w:cs="Arial"/>
          <w:sz w:val="24"/>
          <w:szCs w:val="24"/>
        </w:rPr>
        <w:t>na vez que la Dirección General de Vinculación y Coordinación con Instancias realizo la búsqueda razonable y exhaustiva de la información solicitada, reportó que las funciones que realiza</w:t>
      </w:r>
      <w:r w:rsidRPr="00295E08">
        <w:rPr>
          <w:rFonts w:ascii="Gotham" w:hAnsi="Gotham" w:cs="Arial"/>
          <w:sz w:val="24"/>
          <w:szCs w:val="24"/>
        </w:rPr>
        <w:t xml:space="preserve"> </w:t>
      </w:r>
      <w:r w:rsidR="00526814" w:rsidRPr="00295E08">
        <w:rPr>
          <w:rFonts w:ascii="Gotham" w:hAnsi="Gotham" w:cs="Arial"/>
          <w:sz w:val="24"/>
          <w:szCs w:val="24"/>
        </w:rPr>
        <w:t xml:space="preserve">el servidor público citado, </w:t>
      </w:r>
      <w:r w:rsidRPr="00295E08">
        <w:rPr>
          <w:rFonts w:ascii="Gotham" w:hAnsi="Gotham" w:cs="Arial"/>
          <w:sz w:val="24"/>
          <w:szCs w:val="24"/>
        </w:rPr>
        <w:t xml:space="preserve">son en cumplimiento a la dispuesto en el Reglamento Interior del Secretariado Ejecutivo del Sistema Estatal de Seguridad Pública, publicado en el Periódico Oficial "Gaceta del Gobierno", el 26 de junio de 2017; y el Acuerdo por el que se reforman, adicionan y derogan diversas disposiciones del Reglamento Interior del Secretariado Ejecutivo del Sistema Estatal de Seguridad Pública publicado en el Periódico Oficial "Gaceta del Gobierno", el 12 de diciembre de 2019; así como el Manual General de Organización del Secretariado Ejecutivo del Sistema Estatal de Seguridad Pública, publicado en el Periódico Oficial "Gaceta del Gobierno", el 19 de junio de 2020, y que </w:t>
      </w:r>
      <w:r w:rsidRPr="00295E08">
        <w:rPr>
          <w:rFonts w:ascii="Gotham" w:hAnsi="Gotham" w:cs="Arial"/>
          <w:b/>
          <w:bCs/>
          <w:sz w:val="24"/>
          <w:szCs w:val="24"/>
        </w:rPr>
        <w:t>de manera enunciativa y no limitativa son las siguientes:</w:t>
      </w:r>
    </w:p>
    <w:p w14:paraId="7BA29467" w14:textId="77777777" w:rsidR="00880521" w:rsidRPr="00295E08" w:rsidRDefault="00880521" w:rsidP="00880521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i/>
          <w:iCs/>
          <w:sz w:val="24"/>
          <w:szCs w:val="24"/>
        </w:rPr>
      </w:pPr>
    </w:p>
    <w:p w14:paraId="483203DC" w14:textId="0F0F91E6" w:rsidR="00E0531C" w:rsidRPr="00295E08" w:rsidRDefault="00880521" w:rsidP="00526814">
      <w:pPr>
        <w:pStyle w:val="Prrafodelista"/>
        <w:numPr>
          <w:ilvl w:val="0"/>
          <w:numId w:val="5"/>
        </w:numPr>
        <w:tabs>
          <w:tab w:val="left" w:pos="9072"/>
        </w:tabs>
        <w:spacing w:line="240" w:lineRule="atLeast"/>
        <w:ind w:left="-284" w:right="-516" w:hanging="142"/>
        <w:jc w:val="both"/>
        <w:rPr>
          <w:rFonts w:ascii="Gotham" w:hAnsi="Gotham" w:cs="Arial"/>
          <w:i/>
          <w:iCs/>
        </w:rPr>
      </w:pPr>
      <w:r w:rsidRPr="00295E08">
        <w:rPr>
          <w:rFonts w:ascii="Gotham" w:hAnsi="Gotham" w:cs="Arial"/>
          <w:i/>
          <w:iCs/>
        </w:rPr>
        <w:t>Asumir la representación del Secretario Ejecutivo en el Consejo Intermunicipal de Seguridad</w:t>
      </w:r>
      <w:r w:rsidR="00E0531C" w:rsidRPr="00295E08">
        <w:rPr>
          <w:rFonts w:ascii="Gotham" w:hAnsi="Gotham" w:cs="Arial"/>
          <w:i/>
          <w:iCs/>
        </w:rPr>
        <w:t xml:space="preserve"> </w:t>
      </w:r>
      <w:r w:rsidRPr="00295E08">
        <w:rPr>
          <w:rFonts w:ascii="Gotham" w:hAnsi="Gotham" w:cs="Arial"/>
          <w:i/>
          <w:iCs/>
        </w:rPr>
        <w:t>Pública de la REGIÓN XIII VALLE DE BRAVO.</w:t>
      </w:r>
    </w:p>
    <w:p w14:paraId="52914F6A" w14:textId="78C567F4" w:rsidR="00880521" w:rsidRPr="00295E08" w:rsidRDefault="00880521" w:rsidP="00526814">
      <w:pPr>
        <w:pStyle w:val="Prrafodelista"/>
        <w:numPr>
          <w:ilvl w:val="0"/>
          <w:numId w:val="5"/>
        </w:numPr>
        <w:tabs>
          <w:tab w:val="left" w:pos="9072"/>
        </w:tabs>
        <w:spacing w:line="240" w:lineRule="atLeast"/>
        <w:ind w:left="-284" w:right="-516" w:hanging="142"/>
        <w:jc w:val="both"/>
        <w:rPr>
          <w:rFonts w:ascii="Gotham" w:hAnsi="Gotham" w:cs="Arial"/>
          <w:i/>
          <w:iCs/>
        </w:rPr>
      </w:pPr>
      <w:r w:rsidRPr="00295E08">
        <w:rPr>
          <w:rFonts w:ascii="Gotham" w:hAnsi="Gotham" w:cs="Arial"/>
          <w:i/>
          <w:iCs/>
        </w:rPr>
        <w:t>Dar seguimiento al estatus para el cumplimiento de los acuerdos generados en las sesiones de los Consejos Nacional, Estatal, Intermunicipal y Municipal de Seguridad Pública.</w:t>
      </w:r>
    </w:p>
    <w:p w14:paraId="3C62404C" w14:textId="77777777" w:rsidR="00E0531C" w:rsidRPr="00295E08" w:rsidRDefault="00880521" w:rsidP="00526814">
      <w:pPr>
        <w:pStyle w:val="Prrafodelista"/>
        <w:numPr>
          <w:ilvl w:val="0"/>
          <w:numId w:val="5"/>
        </w:numPr>
        <w:tabs>
          <w:tab w:val="left" w:pos="9072"/>
        </w:tabs>
        <w:spacing w:line="240" w:lineRule="atLeast"/>
        <w:ind w:left="-284" w:right="-516" w:hanging="142"/>
        <w:jc w:val="both"/>
        <w:rPr>
          <w:rFonts w:ascii="Gotham" w:hAnsi="Gotham" w:cs="Arial"/>
          <w:i/>
          <w:iCs/>
        </w:rPr>
      </w:pPr>
      <w:r w:rsidRPr="00295E08">
        <w:rPr>
          <w:rFonts w:ascii="Gotham" w:hAnsi="Gotham" w:cs="Arial"/>
          <w:i/>
          <w:iCs/>
        </w:rPr>
        <w:t>Difundir en los Consejos los planes, programas, acciones y acuerdos tomados por el Consejo Nacional y estatal de Seguridad Pública.</w:t>
      </w:r>
    </w:p>
    <w:p w14:paraId="32B18687" w14:textId="3F7F2480" w:rsidR="00496C55" w:rsidRPr="00295E08" w:rsidRDefault="00880521" w:rsidP="00526814">
      <w:pPr>
        <w:pStyle w:val="Prrafodelista"/>
        <w:numPr>
          <w:ilvl w:val="0"/>
          <w:numId w:val="5"/>
        </w:numPr>
        <w:tabs>
          <w:tab w:val="left" w:pos="9072"/>
        </w:tabs>
        <w:spacing w:line="240" w:lineRule="atLeast"/>
        <w:ind w:left="-284" w:right="-516" w:hanging="142"/>
        <w:jc w:val="both"/>
        <w:rPr>
          <w:rFonts w:ascii="Gotham" w:hAnsi="Gotham" w:cs="Arial"/>
          <w:i/>
          <w:iCs/>
        </w:rPr>
      </w:pPr>
      <w:r w:rsidRPr="00295E08">
        <w:rPr>
          <w:rFonts w:ascii="Gotham" w:hAnsi="Gotham" w:cs="Arial"/>
          <w:i/>
          <w:iCs/>
        </w:rPr>
        <w:t>Asesorar a las autoridades municipales sobre la integración, desarrollo y seguimiento de sus Consejos en los 09 municipios de la REGIÓN XIII VALLE DE BRAVO que le corresponde, siendo los siguientes: Amanalco, Donato Guerra, Ixtapan del Oro, Otzoloapan, Santo Tomas, Temascaltepec, Valle de Bravo, Villa de Allende y Zacazonapan.</w:t>
      </w:r>
    </w:p>
    <w:p w14:paraId="5F82CA39" w14:textId="77777777" w:rsidR="00496C55" w:rsidRPr="00295E08" w:rsidRDefault="00496C55" w:rsidP="00496C55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sz w:val="24"/>
          <w:szCs w:val="24"/>
        </w:rPr>
      </w:pPr>
    </w:p>
    <w:p w14:paraId="62F4C703" w14:textId="0CAE408C" w:rsidR="00526814" w:rsidRPr="00526814" w:rsidRDefault="00526814" w:rsidP="00526814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bCs/>
          <w:sz w:val="24"/>
          <w:szCs w:val="24"/>
        </w:rPr>
      </w:pPr>
      <w:r w:rsidRPr="00295E08">
        <w:rPr>
          <w:rFonts w:ascii="Gotham" w:hAnsi="Gotham" w:cs="Arial"/>
          <w:sz w:val="24"/>
          <w:szCs w:val="24"/>
        </w:rPr>
        <w:t xml:space="preserve">Es importante reiterar que, la presente entrega de la información se realiza </w:t>
      </w:r>
      <w:r w:rsidRPr="00526814">
        <w:rPr>
          <w:rFonts w:ascii="Gotham" w:hAnsi="Gotham" w:cs="Arial"/>
          <w:bCs/>
          <w:sz w:val="24"/>
          <w:szCs w:val="24"/>
        </w:rPr>
        <w:t xml:space="preserve">en el </w:t>
      </w:r>
      <w:r w:rsidRPr="00526814">
        <w:rPr>
          <w:rFonts w:ascii="Gotham" w:hAnsi="Gotham" w:cs="Arial"/>
          <w:b/>
          <w:sz w:val="24"/>
          <w:szCs w:val="24"/>
        </w:rPr>
        <w:t>estado en que se posee</w:t>
      </w:r>
      <w:r w:rsidRPr="00526814">
        <w:rPr>
          <w:rFonts w:ascii="Gotham" w:hAnsi="Gotham" w:cs="Arial"/>
          <w:bCs/>
          <w:sz w:val="24"/>
          <w:szCs w:val="24"/>
        </w:rPr>
        <w:t>, lo anterior</w:t>
      </w:r>
      <w:r w:rsidRPr="00295E08">
        <w:rPr>
          <w:rFonts w:ascii="Gotham" w:hAnsi="Gotham" w:cs="Arial"/>
          <w:bCs/>
          <w:sz w:val="24"/>
          <w:szCs w:val="24"/>
        </w:rPr>
        <w:t xml:space="preserve"> en cumplimiento a</w:t>
      </w:r>
      <w:r w:rsidRPr="00526814">
        <w:rPr>
          <w:rFonts w:ascii="Gotham" w:hAnsi="Gotham" w:cs="Arial"/>
          <w:bCs/>
          <w:sz w:val="24"/>
          <w:szCs w:val="24"/>
        </w:rPr>
        <w:t xml:space="preserve">l </w:t>
      </w:r>
      <w:r w:rsidRPr="00526814">
        <w:rPr>
          <w:rFonts w:ascii="Gotham" w:hAnsi="Gotham" w:cs="Arial"/>
          <w:bCs/>
          <w:iCs/>
          <w:sz w:val="24"/>
          <w:szCs w:val="24"/>
        </w:rPr>
        <w:t>artículo 12 de la de la Ley de Transparencia y Acceso a la Información Pública del Estado de México y Municipios, el cual dispone:</w:t>
      </w:r>
    </w:p>
    <w:p w14:paraId="638397ED" w14:textId="77777777" w:rsidR="00526814" w:rsidRPr="00526814" w:rsidRDefault="00526814" w:rsidP="00526814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bCs/>
          <w:iCs/>
          <w:sz w:val="24"/>
          <w:szCs w:val="24"/>
        </w:rPr>
      </w:pPr>
    </w:p>
    <w:p w14:paraId="4A685722" w14:textId="77777777" w:rsidR="00526814" w:rsidRPr="00526814" w:rsidRDefault="00526814" w:rsidP="00526814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b/>
          <w:bCs/>
          <w:i/>
          <w:iCs/>
          <w:sz w:val="24"/>
          <w:szCs w:val="24"/>
        </w:rPr>
      </w:pPr>
      <w:r w:rsidRPr="00526814">
        <w:rPr>
          <w:rFonts w:ascii="Gotham" w:hAnsi="Gotham" w:cs="Arial"/>
          <w:b/>
          <w:bCs/>
          <w:i/>
          <w:iCs/>
          <w:sz w:val="24"/>
          <w:szCs w:val="24"/>
        </w:rPr>
        <w:t>“Artículo 12…</w:t>
      </w:r>
    </w:p>
    <w:p w14:paraId="779B233F" w14:textId="77777777" w:rsidR="00526814" w:rsidRPr="00526814" w:rsidRDefault="00526814" w:rsidP="00526814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bCs/>
          <w:i/>
          <w:iCs/>
          <w:sz w:val="24"/>
          <w:szCs w:val="24"/>
        </w:rPr>
      </w:pPr>
      <w:r w:rsidRPr="00526814">
        <w:rPr>
          <w:rFonts w:ascii="Gotham" w:hAnsi="Gotham" w:cs="Arial"/>
          <w:bCs/>
          <w:i/>
          <w:iCs/>
          <w:sz w:val="24"/>
          <w:szCs w:val="24"/>
        </w:rPr>
        <w:lastRenderedPageBreak/>
        <w:t xml:space="preserve">Los sujetos obligados sólo proporcionarán la información pública que se les requiera y que obre en sus archivos y </w:t>
      </w:r>
      <w:r w:rsidRPr="00526814">
        <w:rPr>
          <w:rFonts w:ascii="Gotham" w:hAnsi="Gotham" w:cs="Arial"/>
          <w:b/>
          <w:bCs/>
          <w:i/>
          <w:iCs/>
          <w:sz w:val="24"/>
          <w:szCs w:val="24"/>
        </w:rPr>
        <w:t>en el estado en que ésta se encuentre</w:t>
      </w:r>
      <w:r w:rsidRPr="00526814">
        <w:rPr>
          <w:rFonts w:ascii="Gotham" w:hAnsi="Gotham" w:cs="Arial"/>
          <w:bCs/>
          <w:i/>
          <w:iCs/>
          <w:sz w:val="24"/>
          <w:szCs w:val="24"/>
        </w:rPr>
        <w:t xml:space="preserve">. La obligación de proporcionar información no comprende el procesamiento de la misma, </w:t>
      </w:r>
      <w:r w:rsidRPr="00526814">
        <w:rPr>
          <w:rFonts w:ascii="Gotham" w:hAnsi="Gotham" w:cs="Arial"/>
          <w:b/>
          <w:i/>
          <w:iCs/>
          <w:sz w:val="24"/>
          <w:szCs w:val="24"/>
        </w:rPr>
        <w:t>ni el presentarla conforme al interés del solicitante</w:t>
      </w:r>
      <w:r w:rsidRPr="00526814">
        <w:rPr>
          <w:rFonts w:ascii="Gotham" w:hAnsi="Gotham" w:cs="Arial"/>
          <w:bCs/>
          <w:i/>
          <w:iCs/>
          <w:sz w:val="24"/>
          <w:szCs w:val="24"/>
        </w:rPr>
        <w:t>; no estarán obligados a generarla, resumirla, efectuar cálculos o practicar investigaciones.” (</w:t>
      </w:r>
      <w:r w:rsidRPr="00526814">
        <w:rPr>
          <w:rFonts w:ascii="Gotham" w:hAnsi="Gotham" w:cs="Arial"/>
          <w:b/>
          <w:i/>
          <w:iCs/>
          <w:sz w:val="24"/>
          <w:szCs w:val="24"/>
        </w:rPr>
        <w:t>énfasis añadido</w:t>
      </w:r>
      <w:r w:rsidRPr="00526814">
        <w:rPr>
          <w:rFonts w:ascii="Gotham" w:hAnsi="Gotham" w:cs="Arial"/>
          <w:bCs/>
          <w:i/>
          <w:iCs/>
          <w:sz w:val="24"/>
          <w:szCs w:val="24"/>
        </w:rPr>
        <w:t>)</w:t>
      </w:r>
    </w:p>
    <w:p w14:paraId="0A171878" w14:textId="77777777" w:rsidR="00526814" w:rsidRPr="00295E08" w:rsidRDefault="00526814" w:rsidP="00496C55">
      <w:pPr>
        <w:tabs>
          <w:tab w:val="left" w:pos="9072"/>
        </w:tabs>
        <w:spacing w:after="0" w:line="240" w:lineRule="atLeast"/>
        <w:ind w:left="-426" w:right="-516"/>
        <w:jc w:val="both"/>
        <w:rPr>
          <w:rFonts w:ascii="Gotham" w:hAnsi="Gotham" w:cs="Arial"/>
          <w:sz w:val="24"/>
          <w:szCs w:val="24"/>
        </w:rPr>
      </w:pPr>
    </w:p>
    <w:p w14:paraId="0CF26BF5" w14:textId="77777777" w:rsidR="00496C55" w:rsidRPr="00295E08" w:rsidRDefault="00496C55" w:rsidP="00496C55">
      <w:pPr>
        <w:spacing w:after="0" w:line="240" w:lineRule="atLeast"/>
        <w:ind w:left="-426" w:right="-516"/>
        <w:jc w:val="both"/>
        <w:rPr>
          <w:rFonts w:ascii="Gotham" w:eastAsia="Times New Roman" w:hAnsi="Gotham" w:cs="Bw Modelica Cyrillic DEMO"/>
          <w:bCs/>
          <w:iCs/>
          <w:sz w:val="24"/>
          <w:szCs w:val="24"/>
        </w:rPr>
      </w:pPr>
      <w:r w:rsidRPr="00295E08">
        <w:rPr>
          <w:rFonts w:ascii="Gotham" w:eastAsia="Times New Roman" w:hAnsi="Gotham" w:cs="Bw Modelica Cyrillic DEMO"/>
          <w:bCs/>
          <w:iCs/>
          <w:sz w:val="24"/>
          <w:szCs w:val="24"/>
        </w:rPr>
        <w:t xml:space="preserve">En espera de que la información brindada por este Sujeto Obligado le sea de utilidad, </w:t>
      </w:r>
      <w:r w:rsidRPr="00295E08">
        <w:rPr>
          <w:rFonts w:ascii="Gotham" w:eastAsia="Times New Roman" w:hAnsi="Gotham" w:cs="Bw Modelica Cyrillic DEMO"/>
          <w:bCs/>
          <w:sz w:val="24"/>
          <w:szCs w:val="24"/>
        </w:rPr>
        <w:t>reciba un cordial saludo;</w:t>
      </w:r>
      <w:r w:rsidRPr="00295E08">
        <w:rPr>
          <w:rFonts w:ascii="Gotham" w:eastAsia="Times New Roman" w:hAnsi="Gotham" w:cs="Bw Modelica Cyrillic DEMO"/>
          <w:bCs/>
          <w:iCs/>
          <w:sz w:val="24"/>
          <w:szCs w:val="24"/>
        </w:rPr>
        <w:t xml:space="preserve"> por otra parte, y en caso de que lo requiera, se le informa del derecho con el que cuenta para promover el recurso de revisión, el cual se encuentra establecido en los artículos 178, 179 y 180</w:t>
      </w:r>
      <w:r w:rsidRPr="00295E08">
        <w:rPr>
          <w:rFonts w:ascii="Gotham" w:eastAsia="Times New Roman" w:hAnsi="Gotham" w:cs="Bw Modelica Cyrillic DEMO"/>
          <w:bCs/>
          <w:sz w:val="24"/>
          <w:szCs w:val="24"/>
        </w:rPr>
        <w:t xml:space="preserve"> de la Ley de Transparencia y Acceso a la Información Pública del Estado de México y Municipios</w:t>
      </w:r>
      <w:r w:rsidRPr="00295E08">
        <w:rPr>
          <w:rFonts w:ascii="Gotham" w:eastAsia="Times New Roman" w:hAnsi="Gotham" w:cs="Bw Modelica Cyrillic DEMO"/>
          <w:bCs/>
          <w:iCs/>
          <w:sz w:val="24"/>
          <w:szCs w:val="24"/>
        </w:rPr>
        <w:t xml:space="preserve">, y que contemplan el plazo de quince días hábiles siguientes a la fecha de la notificación de la respuesta, así como las causales de procedencia y los requisitos que debe contener. </w:t>
      </w:r>
    </w:p>
    <w:p w14:paraId="4B2444C2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/>
          <w:bCs/>
          <w:sz w:val="24"/>
          <w:szCs w:val="24"/>
        </w:rPr>
      </w:pPr>
    </w:p>
    <w:p w14:paraId="496EAD81" w14:textId="77777777" w:rsidR="00496C55" w:rsidRPr="00295E08" w:rsidRDefault="00496C55" w:rsidP="00496C55">
      <w:pPr>
        <w:spacing w:after="0" w:line="240" w:lineRule="atLeast"/>
        <w:ind w:left="-426" w:right="-658"/>
        <w:jc w:val="both"/>
        <w:rPr>
          <w:rFonts w:ascii="Gotham" w:hAnsi="Gotham"/>
          <w:bCs/>
          <w:sz w:val="24"/>
          <w:szCs w:val="24"/>
        </w:rPr>
      </w:pPr>
    </w:p>
    <w:p w14:paraId="3602FE56" w14:textId="77777777" w:rsidR="00496C55" w:rsidRPr="00295E08" w:rsidRDefault="00496C55" w:rsidP="00496C55">
      <w:pPr>
        <w:spacing w:after="0" w:line="240" w:lineRule="atLeast"/>
        <w:ind w:left="-426" w:right="-658"/>
        <w:rPr>
          <w:rFonts w:ascii="Gotham Bold" w:hAnsi="Gotham Bold"/>
          <w:b/>
          <w:sz w:val="24"/>
          <w:szCs w:val="24"/>
          <w:lang w:val="de-DE"/>
        </w:rPr>
      </w:pPr>
      <w:r w:rsidRPr="00295E08">
        <w:rPr>
          <w:rFonts w:ascii="Gotham Bold" w:hAnsi="Gotham Bold"/>
          <w:b/>
          <w:sz w:val="24"/>
          <w:szCs w:val="24"/>
          <w:lang w:val="de-DE"/>
        </w:rPr>
        <w:t>A T E N T A M E N T E</w:t>
      </w:r>
    </w:p>
    <w:p w14:paraId="2BE4063B" w14:textId="77777777" w:rsidR="00496C55" w:rsidRPr="00295E08" w:rsidRDefault="00496C55" w:rsidP="00496C55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65CFC8DE" w14:textId="77777777" w:rsidR="00496C55" w:rsidRPr="00295E08" w:rsidRDefault="00496C55" w:rsidP="00496C55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6F59D8C4" w14:textId="77777777" w:rsidR="00496C55" w:rsidRPr="00295E08" w:rsidRDefault="00496C55" w:rsidP="00496C55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78F877B0" w14:textId="77777777" w:rsidR="009B52BF" w:rsidRPr="00295E08" w:rsidRDefault="009B52BF" w:rsidP="00496C55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02182248" w14:textId="77777777" w:rsidR="009B52BF" w:rsidRPr="00295E08" w:rsidRDefault="009B52BF" w:rsidP="00496C55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64DDDB86" w14:textId="77777777" w:rsidR="00496C55" w:rsidRPr="00295E08" w:rsidRDefault="00496C55" w:rsidP="00496C55">
      <w:pPr>
        <w:spacing w:after="0" w:line="240" w:lineRule="atLeast"/>
        <w:ind w:left="-426" w:right="-658"/>
        <w:rPr>
          <w:rFonts w:ascii="Gotham Bold" w:hAnsi="Gotham Bold"/>
          <w:bCs/>
          <w:sz w:val="24"/>
          <w:szCs w:val="24"/>
          <w:lang w:val="de-DE"/>
        </w:rPr>
      </w:pPr>
    </w:p>
    <w:p w14:paraId="2E3B9B7E" w14:textId="77777777" w:rsidR="00496C55" w:rsidRPr="00295E08" w:rsidRDefault="00496C55" w:rsidP="00496C55">
      <w:pPr>
        <w:spacing w:after="0" w:line="240" w:lineRule="atLeast"/>
        <w:ind w:left="-426" w:right="-658"/>
        <w:rPr>
          <w:rFonts w:ascii="Gotham Bold" w:hAnsi="Gotham Bold"/>
          <w:b/>
          <w:bCs/>
          <w:sz w:val="24"/>
          <w:szCs w:val="24"/>
        </w:rPr>
      </w:pPr>
      <w:r w:rsidRPr="00295E08">
        <w:rPr>
          <w:rFonts w:ascii="Gotham Bold" w:hAnsi="Gotham Bold"/>
          <w:b/>
          <w:bCs/>
          <w:sz w:val="24"/>
          <w:szCs w:val="24"/>
        </w:rPr>
        <w:t>LIC. ARNOLD ZARATE PADILLA</w:t>
      </w:r>
    </w:p>
    <w:p w14:paraId="3FC8F542" w14:textId="77777777" w:rsidR="00496C55" w:rsidRPr="00295E08" w:rsidRDefault="00496C55" w:rsidP="00496C55">
      <w:pPr>
        <w:spacing w:after="0" w:line="240" w:lineRule="atLeast"/>
        <w:ind w:left="-426" w:right="-658"/>
        <w:rPr>
          <w:rFonts w:ascii="Gotham Bold" w:hAnsi="Gotham Bold"/>
          <w:b/>
          <w:bCs/>
          <w:sz w:val="24"/>
          <w:szCs w:val="24"/>
        </w:rPr>
      </w:pPr>
      <w:r w:rsidRPr="00295E08">
        <w:rPr>
          <w:rFonts w:ascii="Gotham Bold" w:hAnsi="Gotham Bold"/>
          <w:b/>
          <w:bCs/>
          <w:sz w:val="24"/>
          <w:szCs w:val="24"/>
        </w:rPr>
        <w:t>TITULAR DE LA UNIDAD DE TRANSPARENCIA DEL SECRETARIADO</w:t>
      </w:r>
    </w:p>
    <w:p w14:paraId="1B75BF91" w14:textId="77777777" w:rsidR="00496C55" w:rsidRPr="00295E08" w:rsidRDefault="00496C55" w:rsidP="00496C55">
      <w:pPr>
        <w:spacing w:after="0" w:line="240" w:lineRule="auto"/>
        <w:ind w:left="-426" w:right="-658"/>
        <w:rPr>
          <w:rFonts w:ascii="Gotham Bold" w:hAnsi="Gotham Bold"/>
          <w:b/>
          <w:bCs/>
          <w:sz w:val="24"/>
          <w:szCs w:val="24"/>
        </w:rPr>
      </w:pPr>
      <w:r w:rsidRPr="00295E08">
        <w:rPr>
          <w:rFonts w:ascii="Gotham Bold" w:hAnsi="Gotham Bold"/>
          <w:b/>
          <w:bCs/>
          <w:sz w:val="24"/>
          <w:szCs w:val="24"/>
        </w:rPr>
        <w:t>EJECUTIVO DEL SISTEMA ESTATAL DE SEGURIDAD PÚBLICA</w:t>
      </w:r>
    </w:p>
    <w:p w14:paraId="2806E68F" w14:textId="0143298F" w:rsidR="0067014C" w:rsidRPr="00295E08" w:rsidRDefault="00496C55" w:rsidP="00E0531C">
      <w:pPr>
        <w:spacing w:after="0" w:line="240" w:lineRule="auto"/>
        <w:ind w:left="-426" w:right="-658"/>
        <w:rPr>
          <w:sz w:val="12"/>
          <w:szCs w:val="12"/>
        </w:rPr>
      </w:pPr>
      <w:r w:rsidRPr="00295E08">
        <w:rPr>
          <w:rFonts w:ascii="Gotham Bold" w:eastAsia="Times New Roman" w:hAnsi="Gotham Bold" w:cs="Times New Roman"/>
          <w:color w:val="000000" w:themeColor="text1"/>
          <w:sz w:val="12"/>
          <w:szCs w:val="12"/>
        </w:rPr>
        <w:t xml:space="preserve">Elaboró. </w:t>
      </w:r>
      <w:r w:rsidR="00015163" w:rsidRPr="00295E08">
        <w:rPr>
          <w:rFonts w:ascii="Gotham Bold" w:eastAsia="Times New Roman" w:hAnsi="Gotham Bold" w:cs="Times New Roman"/>
          <w:color w:val="000000" w:themeColor="text1"/>
          <w:sz w:val="12"/>
          <w:szCs w:val="12"/>
          <w:lang w:val="en-US"/>
        </w:rPr>
        <w:t>ALCM</w:t>
      </w:r>
    </w:p>
    <w:sectPr w:rsidR="0067014C" w:rsidRPr="00295E08" w:rsidSect="00295E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19"/>
      <w:pgMar w:top="2127" w:right="1701" w:bottom="1843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C951E" w14:textId="77777777" w:rsidR="007908FB" w:rsidRDefault="007908FB">
      <w:pPr>
        <w:spacing w:after="0" w:line="240" w:lineRule="auto"/>
      </w:pPr>
      <w:r>
        <w:separator/>
      </w:r>
    </w:p>
  </w:endnote>
  <w:endnote w:type="continuationSeparator" w:id="0">
    <w:p w14:paraId="45FB43EC" w14:textId="77777777" w:rsidR="007908FB" w:rsidRDefault="0079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Montserrat SemiBold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Gotham">
    <w:altName w:val="Gotham"/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w Modelica Cyrillic DEMO">
    <w:panose1 w:val="00000600000000000000"/>
    <w:charset w:val="00"/>
    <w:family w:val="auto"/>
    <w:pitch w:val="variable"/>
    <w:sig w:usb0="00000203" w:usb1="00000001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48778" w14:textId="77777777" w:rsidR="00A06ABA" w:rsidRDefault="00A06A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3AEE0" w14:textId="77777777" w:rsidR="00333BC5" w:rsidRPr="00BA7858" w:rsidRDefault="00333BC5" w:rsidP="00E45619">
    <w:pPr>
      <w:pStyle w:val="Sinespaciado"/>
      <w:rPr>
        <w:rFonts w:ascii="Gotham" w:hAnsi="Gotham"/>
        <w:sz w:val="18"/>
        <w:szCs w:val="18"/>
      </w:rPr>
    </w:pPr>
  </w:p>
  <w:p w14:paraId="4778A483" w14:textId="77777777" w:rsidR="00333BC5" w:rsidRDefault="00333BC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4D90C" w14:textId="77777777" w:rsidR="00A06ABA" w:rsidRDefault="00A06A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D354F" w14:textId="77777777" w:rsidR="007908FB" w:rsidRDefault="007908FB">
      <w:pPr>
        <w:spacing w:after="0" w:line="240" w:lineRule="auto"/>
      </w:pPr>
      <w:r>
        <w:separator/>
      </w:r>
    </w:p>
  </w:footnote>
  <w:footnote w:type="continuationSeparator" w:id="0">
    <w:p w14:paraId="3D32EBA4" w14:textId="77777777" w:rsidR="007908FB" w:rsidRDefault="0079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25ECB" w14:textId="77777777" w:rsidR="00A06ABA" w:rsidRDefault="00A06A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BFEE3" w14:textId="122DA311" w:rsidR="00333BC5" w:rsidRDefault="00000000">
    <w:pPr>
      <w:pStyle w:val="Encabezado"/>
    </w:pPr>
    <w:sdt>
      <w:sdtPr>
        <w:id w:val="592982325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 wp14:anchorId="51B3EF3F" wp14:editId="7EEE22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21857062" name="Rectá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7FAA5" w14:textId="77777777" w:rsidR="00333BC5" w:rsidRDefault="00000000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es-ES"/>
                                </w:rPr>
                                <w:t>Página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B3EF3F" id="Rectángulo 1" o:spid="_x0000_s1026" style="position:absolute;margin-left:0;margin-top:0;width:40.2pt;height:171.9pt;z-index:25166438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C27FAA5" w14:textId="77777777" w:rsidR="00333BC5" w:rsidRDefault="00000000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es-ES"/>
                          </w:rPr>
                          <w:t>Página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es-ES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BFD7F" w14:textId="77777777" w:rsidR="00A06ABA" w:rsidRDefault="00A06A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20912"/>
    <w:multiLevelType w:val="multilevel"/>
    <w:tmpl w:val="6EBC79FA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BC542B4"/>
    <w:multiLevelType w:val="hybridMultilevel"/>
    <w:tmpl w:val="9114111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46FB59D2"/>
    <w:multiLevelType w:val="hybridMultilevel"/>
    <w:tmpl w:val="57B2B502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4E322CF6"/>
    <w:multiLevelType w:val="hybridMultilevel"/>
    <w:tmpl w:val="4FB0973E"/>
    <w:lvl w:ilvl="0" w:tplc="080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7AFF614F"/>
    <w:multiLevelType w:val="hybridMultilevel"/>
    <w:tmpl w:val="958A4998"/>
    <w:lvl w:ilvl="0" w:tplc="080A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92677505">
    <w:abstractNumId w:val="1"/>
  </w:num>
  <w:num w:numId="2" w16cid:durableId="1661737606">
    <w:abstractNumId w:val="2"/>
  </w:num>
  <w:num w:numId="3" w16cid:durableId="954942778">
    <w:abstractNumId w:val="0"/>
  </w:num>
  <w:num w:numId="4" w16cid:durableId="1923299821">
    <w:abstractNumId w:val="4"/>
  </w:num>
  <w:num w:numId="5" w16cid:durableId="1308196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9E"/>
    <w:rsid w:val="00002110"/>
    <w:rsid w:val="000068FA"/>
    <w:rsid w:val="0000739C"/>
    <w:rsid w:val="00015163"/>
    <w:rsid w:val="000256C8"/>
    <w:rsid w:val="000709CD"/>
    <w:rsid w:val="000963BA"/>
    <w:rsid w:val="000A6D7C"/>
    <w:rsid w:val="000E5611"/>
    <w:rsid w:val="000F6E57"/>
    <w:rsid w:val="00195358"/>
    <w:rsid w:val="001F0C34"/>
    <w:rsid w:val="001F5FC5"/>
    <w:rsid w:val="00256DA0"/>
    <w:rsid w:val="00266A7A"/>
    <w:rsid w:val="002702E0"/>
    <w:rsid w:val="00275C9B"/>
    <w:rsid w:val="0028458A"/>
    <w:rsid w:val="00295831"/>
    <w:rsid w:val="00295E08"/>
    <w:rsid w:val="002A1DFF"/>
    <w:rsid w:val="002F098E"/>
    <w:rsid w:val="00325E33"/>
    <w:rsid w:val="00333BC5"/>
    <w:rsid w:val="00371C1D"/>
    <w:rsid w:val="00376D08"/>
    <w:rsid w:val="00386182"/>
    <w:rsid w:val="003C098E"/>
    <w:rsid w:val="003F3AB9"/>
    <w:rsid w:val="00436BE3"/>
    <w:rsid w:val="00445616"/>
    <w:rsid w:val="00462FAC"/>
    <w:rsid w:val="00496C55"/>
    <w:rsid w:val="004B7688"/>
    <w:rsid w:val="00526814"/>
    <w:rsid w:val="00572EF2"/>
    <w:rsid w:val="005F1850"/>
    <w:rsid w:val="005F6482"/>
    <w:rsid w:val="006268F7"/>
    <w:rsid w:val="006562B5"/>
    <w:rsid w:val="0066549A"/>
    <w:rsid w:val="00667273"/>
    <w:rsid w:val="0067014C"/>
    <w:rsid w:val="006F3C33"/>
    <w:rsid w:val="0072481A"/>
    <w:rsid w:val="00724DA7"/>
    <w:rsid w:val="007432E3"/>
    <w:rsid w:val="0075583A"/>
    <w:rsid w:val="007756DF"/>
    <w:rsid w:val="007908FB"/>
    <w:rsid w:val="007F61F7"/>
    <w:rsid w:val="00880521"/>
    <w:rsid w:val="00904804"/>
    <w:rsid w:val="00930D17"/>
    <w:rsid w:val="0095442E"/>
    <w:rsid w:val="00975335"/>
    <w:rsid w:val="00982687"/>
    <w:rsid w:val="009B5033"/>
    <w:rsid w:val="009B52BF"/>
    <w:rsid w:val="009D0240"/>
    <w:rsid w:val="009F7323"/>
    <w:rsid w:val="009F7F84"/>
    <w:rsid w:val="00A06361"/>
    <w:rsid w:val="00A06ABA"/>
    <w:rsid w:val="00A201C5"/>
    <w:rsid w:val="00A30522"/>
    <w:rsid w:val="00A541C9"/>
    <w:rsid w:val="00A700E9"/>
    <w:rsid w:val="00A809A5"/>
    <w:rsid w:val="00A83746"/>
    <w:rsid w:val="00AE073B"/>
    <w:rsid w:val="00AE6B36"/>
    <w:rsid w:val="00B07629"/>
    <w:rsid w:val="00B433F6"/>
    <w:rsid w:val="00B95F09"/>
    <w:rsid w:val="00BA49E7"/>
    <w:rsid w:val="00BC1C6B"/>
    <w:rsid w:val="00BD77D3"/>
    <w:rsid w:val="00BF6141"/>
    <w:rsid w:val="00C06F9E"/>
    <w:rsid w:val="00C10DAA"/>
    <w:rsid w:val="00C43C50"/>
    <w:rsid w:val="00C51425"/>
    <w:rsid w:val="00C623C5"/>
    <w:rsid w:val="00C6466A"/>
    <w:rsid w:val="00C974A9"/>
    <w:rsid w:val="00CB4B33"/>
    <w:rsid w:val="00CB74C1"/>
    <w:rsid w:val="00D30597"/>
    <w:rsid w:val="00D4410F"/>
    <w:rsid w:val="00D47345"/>
    <w:rsid w:val="00D577FD"/>
    <w:rsid w:val="00D90909"/>
    <w:rsid w:val="00DA06CE"/>
    <w:rsid w:val="00DA10A9"/>
    <w:rsid w:val="00DB5DFE"/>
    <w:rsid w:val="00DE5B36"/>
    <w:rsid w:val="00E01979"/>
    <w:rsid w:val="00E0531C"/>
    <w:rsid w:val="00E15648"/>
    <w:rsid w:val="00E25EB5"/>
    <w:rsid w:val="00E31462"/>
    <w:rsid w:val="00E7781B"/>
    <w:rsid w:val="00EF1B7F"/>
    <w:rsid w:val="00F00FF7"/>
    <w:rsid w:val="00F52D7D"/>
    <w:rsid w:val="00F9594F"/>
    <w:rsid w:val="00FB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934EE5"/>
  <w15:chartTrackingRefBased/>
  <w15:docId w15:val="{0EB56823-A33A-4DBE-B85B-DDDAD1D1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F9E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6F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6F9E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06F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6F9E"/>
    <w:rPr>
      <w:kern w:val="0"/>
      <w14:ligatures w14:val="none"/>
    </w:rPr>
  </w:style>
  <w:style w:type="paragraph" w:styleId="Sinespaciado">
    <w:name w:val="No Spacing"/>
    <w:uiPriority w:val="1"/>
    <w:qFormat/>
    <w:rsid w:val="00C06F9E"/>
    <w:pPr>
      <w:spacing w:after="0" w:line="240" w:lineRule="auto"/>
    </w:pPr>
    <w:rPr>
      <w:kern w:val="0"/>
      <w14:ligatures w14:val="none"/>
    </w:rPr>
  </w:style>
  <w:style w:type="character" w:styleId="Hipervnculo">
    <w:name w:val="Hyperlink"/>
    <w:basedOn w:val="Fuentedeprrafopredeter"/>
    <w:uiPriority w:val="99"/>
    <w:unhideWhenUsed/>
    <w:rsid w:val="00C06F9E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70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709C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266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1254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ANTONIO HERNANDEZ SALINAS</dc:creator>
  <cp:keywords/>
  <dc:description/>
  <cp:lastModifiedBy>ALMA LUZ CRUZ MATEO</cp:lastModifiedBy>
  <cp:revision>3</cp:revision>
  <cp:lastPrinted>2024-08-12T23:59:00Z</cp:lastPrinted>
  <dcterms:created xsi:type="dcterms:W3CDTF">2024-08-13T00:00:00Z</dcterms:created>
  <dcterms:modified xsi:type="dcterms:W3CDTF">2024-08-15T18:12:00Z</dcterms:modified>
</cp:coreProperties>
</file>